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9C8" w:rsidRDefault="006C3F41" w:rsidP="000064D9">
      <w:pPr>
        <w:rPr>
          <w:b/>
        </w:rPr>
      </w:pPr>
      <w:r>
        <w:rPr>
          <w:b/>
        </w:rPr>
        <w:t>D</w:t>
      </w:r>
      <w:r w:rsidR="003249C8">
        <w:rPr>
          <w:b/>
        </w:rPr>
        <w:t xml:space="preserve">iscussing biology with our patients </w:t>
      </w:r>
    </w:p>
    <w:p w:rsidR="003249C8" w:rsidRPr="003249C8" w:rsidRDefault="006C3F41" w:rsidP="000064D9">
      <w:r>
        <w:t>C</w:t>
      </w:r>
      <w:r w:rsidR="003249C8" w:rsidRPr="003249C8">
        <w:t xml:space="preserve">ourse with Jack </w:t>
      </w:r>
      <w:proofErr w:type="spellStart"/>
      <w:r w:rsidR="003249C8" w:rsidRPr="003249C8">
        <w:t>Nitschke</w:t>
      </w:r>
      <w:proofErr w:type="spellEnd"/>
      <w:r w:rsidR="003249C8" w:rsidRPr="003249C8">
        <w:t xml:space="preserve"> and He</w:t>
      </w:r>
      <w:r w:rsidR="001471B5">
        <w:t>ather Abercrombie – Feb-Mar 2018</w:t>
      </w:r>
    </w:p>
    <w:p w:rsidR="003249C8" w:rsidRDefault="003249C8" w:rsidP="000064D9">
      <w:pPr>
        <w:rPr>
          <w:b/>
        </w:rPr>
      </w:pPr>
    </w:p>
    <w:p w:rsidR="000064D9" w:rsidRPr="00F20940" w:rsidRDefault="000064D9" w:rsidP="000064D9">
      <w:pPr>
        <w:rPr>
          <w:b/>
        </w:rPr>
      </w:pPr>
      <w:r w:rsidRPr="00F20940">
        <w:rPr>
          <w:b/>
        </w:rPr>
        <w:t>Ways to help patients</w:t>
      </w:r>
      <w:r w:rsidR="00916980" w:rsidRPr="00F20940">
        <w:rPr>
          <w:b/>
        </w:rPr>
        <w:t xml:space="preserve"> visualize the brain </w:t>
      </w:r>
    </w:p>
    <w:p w:rsidR="000064D9" w:rsidRDefault="00A06AF6" w:rsidP="000064D9">
      <w:pPr>
        <w:pStyle w:val="ListParagraph"/>
        <w:numPr>
          <w:ilvl w:val="0"/>
          <w:numId w:val="1"/>
        </w:numPr>
      </w:pPr>
      <w:r>
        <w:t xml:space="preserve">One open hand for cortex &amp; </w:t>
      </w:r>
      <w:r w:rsidR="000064D9">
        <w:t>one closed hand for sub-cortex into spinal cord (wrist)</w:t>
      </w:r>
    </w:p>
    <w:p w:rsidR="000064D9" w:rsidRDefault="000064D9" w:rsidP="000064D9">
      <w:pPr>
        <w:pStyle w:val="ListParagraph"/>
        <w:numPr>
          <w:ilvl w:val="0"/>
          <w:numId w:val="1"/>
        </w:numPr>
      </w:pPr>
      <w:r>
        <w:t>Single closed hand -- fingers fo</w:t>
      </w:r>
      <w:r w:rsidR="00A06AF6">
        <w:t>r frontal lobe with thumb under fingers</w:t>
      </w:r>
      <w:r>
        <w:t xml:space="preserve"> for sub-cortex</w:t>
      </w:r>
      <w:r w:rsidR="00A06AF6">
        <w:t xml:space="preserve"> (fingers pop</w:t>
      </w:r>
      <w:r w:rsidR="00AB36DF">
        <w:t xml:space="preserve"> up – “popped my top” – frontal lobe’s not</w:t>
      </w:r>
      <w:r w:rsidR="00A06AF6">
        <w:t xml:space="preserve"> engaged in regulating </w:t>
      </w:r>
      <w:proofErr w:type="spellStart"/>
      <w:r w:rsidR="00A06AF6">
        <w:t>subcortex</w:t>
      </w:r>
      <w:proofErr w:type="spellEnd"/>
      <w:r w:rsidR="00A06AF6">
        <w:t>)</w:t>
      </w:r>
      <w:r w:rsidR="00AB36DF">
        <w:t xml:space="preserve"> </w:t>
      </w:r>
    </w:p>
    <w:p w:rsidR="000064D9" w:rsidRDefault="000064D9" w:rsidP="000064D9">
      <w:pPr>
        <w:pStyle w:val="ListParagraph"/>
        <w:numPr>
          <w:ilvl w:val="0"/>
          <w:numId w:val="1"/>
        </w:numPr>
      </w:pPr>
      <w:r>
        <w:t xml:space="preserve">An “apple” – skin for cortex, flesh for white matter, seeds for </w:t>
      </w:r>
      <w:proofErr w:type="spellStart"/>
      <w:r>
        <w:t>subcortex</w:t>
      </w:r>
      <w:proofErr w:type="spellEnd"/>
      <w:r w:rsidR="00A06AF6">
        <w:t xml:space="preserve"> (but also indicate that the proportions are off – cortex is thicker than skin &amp; </w:t>
      </w:r>
      <w:proofErr w:type="spellStart"/>
      <w:r w:rsidR="00A06AF6">
        <w:t>subcortex</w:t>
      </w:r>
      <w:proofErr w:type="spellEnd"/>
      <w:r w:rsidR="00A06AF6">
        <w:t xml:space="preserve"> larger than seeds)</w:t>
      </w:r>
    </w:p>
    <w:p w:rsidR="00A06AF6" w:rsidRDefault="00916980" w:rsidP="000064D9">
      <w:pPr>
        <w:pStyle w:val="ListParagraph"/>
        <w:numPr>
          <w:ilvl w:val="0"/>
          <w:numId w:val="1"/>
        </w:numPr>
      </w:pPr>
      <w:r>
        <w:t>drawing</w:t>
      </w:r>
      <w:r w:rsidR="000064D9">
        <w:t xml:space="preserve"> </w:t>
      </w:r>
      <w:r w:rsidR="00A06AF6">
        <w:t xml:space="preserve">a picture </w:t>
      </w:r>
    </w:p>
    <w:p w:rsidR="00A06AF6" w:rsidRDefault="00A06AF6" w:rsidP="000064D9">
      <w:pPr>
        <w:pStyle w:val="ListParagraph"/>
        <w:numPr>
          <w:ilvl w:val="0"/>
          <w:numId w:val="1"/>
        </w:numPr>
      </w:pPr>
      <w:r>
        <w:t>picture from a book or website</w:t>
      </w:r>
    </w:p>
    <w:p w:rsidR="00A641A4" w:rsidRDefault="000064D9" w:rsidP="000064D9">
      <w:pPr>
        <w:pStyle w:val="ListParagraph"/>
        <w:numPr>
          <w:ilvl w:val="0"/>
          <w:numId w:val="1"/>
        </w:numPr>
      </w:pPr>
      <w:r>
        <w:t>an actual model of a brain</w:t>
      </w:r>
    </w:p>
    <w:p w:rsidR="00A641A4" w:rsidRDefault="00A641A4" w:rsidP="000064D9">
      <w:pPr>
        <w:pStyle w:val="ListParagraph"/>
        <w:numPr>
          <w:ilvl w:val="0"/>
          <w:numId w:val="1"/>
        </w:numPr>
      </w:pPr>
      <w:r>
        <w:t xml:space="preserve">over-simplified:  “the cortex is the thinking and speaking brain” and “the </w:t>
      </w:r>
      <w:proofErr w:type="spellStart"/>
      <w:r>
        <w:t>subcortex</w:t>
      </w:r>
      <w:proofErr w:type="spellEnd"/>
      <w:r>
        <w:t xml:space="preserve"> is the feeling and doing brain”</w:t>
      </w:r>
    </w:p>
    <w:p w:rsidR="000064D9" w:rsidRDefault="00A641A4" w:rsidP="000064D9">
      <w:pPr>
        <w:pStyle w:val="ListParagraph"/>
        <w:numPr>
          <w:ilvl w:val="0"/>
          <w:numId w:val="1"/>
        </w:numPr>
      </w:pPr>
      <w:r>
        <w:t>Sub-cortex is sometimes referred to as the “reptilian” or “lizard br</w:t>
      </w:r>
      <w:bookmarkStart w:id="0" w:name="_GoBack"/>
      <w:bookmarkEnd w:id="0"/>
      <w:r>
        <w:t xml:space="preserve">ain,” i.e., evolutionarily very old -- neural structures we share with animals with less elaborated brains – basic processes &amp; “drives” are supported by this area of the brain.  Cortex is the much more evolutionarily advanced brain area – it regulates </w:t>
      </w:r>
      <w:proofErr w:type="spellStart"/>
      <w:r>
        <w:t>subcortex</w:t>
      </w:r>
      <w:proofErr w:type="spellEnd"/>
      <w:r>
        <w:t xml:space="preserve">, but its potency in regulation of </w:t>
      </w:r>
      <w:proofErr w:type="spellStart"/>
      <w:r>
        <w:t>subcortex</w:t>
      </w:r>
      <w:proofErr w:type="spellEnd"/>
      <w:r>
        <w:t xml:space="preserve"> varies based on a lot of things.</w:t>
      </w:r>
    </w:p>
    <w:p w:rsidR="000064D9" w:rsidRDefault="000064D9" w:rsidP="000064D9"/>
    <w:p w:rsidR="00A06AF6" w:rsidRPr="00F20940" w:rsidRDefault="000064D9" w:rsidP="000064D9">
      <w:pPr>
        <w:rPr>
          <w:b/>
        </w:rPr>
      </w:pPr>
      <w:r w:rsidRPr="00F20940">
        <w:rPr>
          <w:b/>
        </w:rPr>
        <w:t>Explaining neuroplasticity</w:t>
      </w:r>
    </w:p>
    <w:p w:rsidR="000064D9" w:rsidRDefault="00A06AF6" w:rsidP="00A06AF6">
      <w:pPr>
        <w:ind w:firstLine="360"/>
      </w:pPr>
      <w:r>
        <w:t>-      Y</w:t>
      </w:r>
      <w:r w:rsidR="00336882">
        <w:t>es</w:t>
      </w:r>
      <w:r>
        <w:t>!</w:t>
      </w:r>
      <w:r w:rsidR="00336882">
        <w:t xml:space="preserve"> our brains do change – instillation of hope!</w:t>
      </w:r>
    </w:p>
    <w:p w:rsidR="006C1D17" w:rsidRDefault="000064D9" w:rsidP="000064D9">
      <w:pPr>
        <w:pStyle w:val="ListParagraph"/>
        <w:numPr>
          <w:ilvl w:val="0"/>
          <w:numId w:val="1"/>
        </w:numPr>
      </w:pPr>
      <w:r>
        <w:t>Our brains contain lots of cells that connect to one another, and can affect activity in one another.  The connections between brain cells (or “neurons”) are constantly changing.  Depending on what we experience and what we practice, some of these connections become stronger and some become weaker.</w:t>
      </w:r>
    </w:p>
    <w:p w:rsidR="00A06AF6" w:rsidRDefault="006C1D17" w:rsidP="000064D9">
      <w:pPr>
        <w:pStyle w:val="ListParagraph"/>
        <w:numPr>
          <w:ilvl w:val="0"/>
          <w:numId w:val="1"/>
        </w:numPr>
      </w:pPr>
      <w:r>
        <w:t>Dendritic spines – constantly sprouting and retracting – can allow for new connections between neurons</w:t>
      </w:r>
      <w:r w:rsidR="00A06AF6">
        <w:t xml:space="preserve"> – one important mechanism that allows connections between neurons to strengthen or weaken</w:t>
      </w:r>
    </w:p>
    <w:p w:rsidR="00A06AF6" w:rsidRDefault="00A06AF6" w:rsidP="000064D9">
      <w:pPr>
        <w:pStyle w:val="ListParagraph"/>
        <w:numPr>
          <w:ilvl w:val="0"/>
          <w:numId w:val="1"/>
        </w:numPr>
      </w:pPr>
      <w:r>
        <w:t>Changes at the synapse</w:t>
      </w:r>
      <w:r w:rsidR="00A641A4">
        <w:t xml:space="preserve">, e.g., </w:t>
      </w:r>
      <w:r>
        <w:t>new receptors inserted into post-synaptic membrane – another mechanism allowing for connections between neurons to strengthen or weaken</w:t>
      </w:r>
    </w:p>
    <w:p w:rsidR="006C1D17" w:rsidRDefault="00A06AF6" w:rsidP="000064D9">
      <w:pPr>
        <w:pStyle w:val="ListParagraph"/>
        <w:numPr>
          <w:ilvl w:val="0"/>
          <w:numId w:val="1"/>
        </w:numPr>
      </w:pPr>
      <w:r>
        <w:t>Neurogenesis</w:t>
      </w:r>
      <w:r w:rsidR="00A641A4">
        <w:t xml:space="preserve"> i</w:t>
      </w:r>
      <w:r>
        <w:t>s a form of neuroplasticity when newborn neurons are incorporated into circuits sculpted by our experience and/or behavior</w:t>
      </w:r>
    </w:p>
    <w:p w:rsidR="000064D9" w:rsidRDefault="006C1D17" w:rsidP="00A06AF6">
      <w:pPr>
        <w:pStyle w:val="ListParagraph"/>
        <w:numPr>
          <w:ilvl w:val="0"/>
          <w:numId w:val="1"/>
        </w:numPr>
      </w:pPr>
      <w:r>
        <w:t>We can’t “surgically remove” the pathways that are associated with the suffering/difficulty</w:t>
      </w:r>
      <w:r w:rsidR="00A06AF6">
        <w:t>, but we can create new pathways (which may inhibit the old pathways or create new associative networks)</w:t>
      </w:r>
    </w:p>
    <w:p w:rsidR="000064D9" w:rsidRDefault="000064D9" w:rsidP="000064D9">
      <w:pPr>
        <w:pStyle w:val="ListParagraph"/>
        <w:numPr>
          <w:ilvl w:val="0"/>
          <w:numId w:val="1"/>
        </w:numPr>
      </w:pPr>
      <w:r>
        <w:t>Metaphors</w:t>
      </w:r>
      <w:r w:rsidR="00A641A4">
        <w:t xml:space="preserve"> for the “old” neural pathway and creation of the “new” neural pathways</w:t>
      </w:r>
      <w:r>
        <w:t>:</w:t>
      </w:r>
    </w:p>
    <w:p w:rsidR="000064D9" w:rsidRDefault="000064D9" w:rsidP="000064D9">
      <w:pPr>
        <w:pStyle w:val="ListParagraph"/>
        <w:ind w:firstLine="720"/>
      </w:pPr>
      <w:r>
        <w:t>Roads (e.g., Super-highway/exits/frontage roads/surface roads/side streets)</w:t>
      </w:r>
    </w:p>
    <w:p w:rsidR="006C1D17" w:rsidRDefault="000064D9" w:rsidP="000064D9">
      <w:pPr>
        <w:pStyle w:val="ListParagraph"/>
        <w:ind w:firstLine="720"/>
      </w:pPr>
      <w:r>
        <w:t>Forest path – often used gets well-worn; not used gets grown over</w:t>
      </w:r>
    </w:p>
    <w:p w:rsidR="000064D9" w:rsidRDefault="006C1D17" w:rsidP="000064D9">
      <w:pPr>
        <w:pStyle w:val="ListParagraph"/>
        <w:ind w:firstLine="720"/>
      </w:pPr>
      <w:r>
        <w:t>Other types of paths, e.g., up a hill</w:t>
      </w:r>
    </w:p>
    <w:p w:rsidR="000064D9" w:rsidRDefault="000064D9" w:rsidP="000064D9">
      <w:pPr>
        <w:pStyle w:val="ListParagraph"/>
        <w:ind w:firstLine="720"/>
      </w:pPr>
      <w:r>
        <w:t>Ruts -- wheels in the mud (and how do you get out of the rut?)</w:t>
      </w:r>
    </w:p>
    <w:p w:rsidR="00A641A4" w:rsidRDefault="000064D9" w:rsidP="00A641A4">
      <w:pPr>
        <w:ind w:left="720" w:firstLine="720"/>
      </w:pPr>
      <w:r>
        <w:t>The gutter in bowling – takes practice to send the ball down the middle</w:t>
      </w:r>
    </w:p>
    <w:p w:rsidR="00A641A4" w:rsidRDefault="00A641A4" w:rsidP="00A641A4">
      <w:pPr>
        <w:rPr>
          <w:b/>
        </w:rPr>
      </w:pPr>
    </w:p>
    <w:p w:rsidR="00A641A4" w:rsidRPr="003249C8" w:rsidRDefault="00A641A4" w:rsidP="00A641A4">
      <w:pPr>
        <w:rPr>
          <w:b/>
        </w:rPr>
      </w:pPr>
      <w:r w:rsidRPr="003249C8">
        <w:rPr>
          <w:b/>
        </w:rPr>
        <w:t>Practice and repetition sculpt neural circuits</w:t>
      </w:r>
    </w:p>
    <w:p w:rsidR="007F18F9" w:rsidRDefault="00A641A4" w:rsidP="00A641A4">
      <w:pPr>
        <w:pStyle w:val="ListParagraph"/>
        <w:numPr>
          <w:ilvl w:val="0"/>
          <w:numId w:val="1"/>
        </w:numPr>
      </w:pPr>
      <w:r>
        <w:t xml:space="preserve">Metaphors:  </w:t>
      </w:r>
      <w:r w:rsidR="007F18F9">
        <w:t>Pathway (old pathway – a rut or a trail though tall grass; new pathway – takes repetition to create the new paths), Bowling</w:t>
      </w:r>
    </w:p>
    <w:p w:rsidR="00A641A4" w:rsidRDefault="007F18F9" w:rsidP="00A641A4">
      <w:pPr>
        <w:pStyle w:val="ListParagraph"/>
        <w:numPr>
          <w:ilvl w:val="0"/>
          <w:numId w:val="1"/>
        </w:numPr>
      </w:pPr>
      <w:r>
        <w:t>B</w:t>
      </w:r>
      <w:r w:rsidR="00A641A4">
        <w:t>asketball, learning to drive, musical instrument, chess – practice and “over-learning” promote “muscle memory,” automatized behaviors, ease, and expertise – the very same neural processes that support learning in these arenas applies to thinking styles, coping, and interpersonal behaviors.</w:t>
      </w:r>
    </w:p>
    <w:p w:rsidR="00A641A4" w:rsidRDefault="00A641A4" w:rsidP="00A641A4">
      <w:pPr>
        <w:pStyle w:val="ListParagraph"/>
        <w:numPr>
          <w:ilvl w:val="0"/>
          <w:numId w:val="1"/>
        </w:numPr>
      </w:pPr>
      <w:r>
        <w:t>Experimenting and practicing new ways of thinking, behaving, or interacting REALLY DOES CHANGE THE BRAIN</w:t>
      </w:r>
    </w:p>
    <w:p w:rsidR="001D17E6" w:rsidRDefault="00A641A4" w:rsidP="00A641A4">
      <w:pPr>
        <w:pStyle w:val="ListParagraph"/>
        <w:numPr>
          <w:ilvl w:val="0"/>
          <w:numId w:val="1"/>
        </w:numPr>
      </w:pPr>
      <w:r>
        <w:lastRenderedPageBreak/>
        <w:t>The practice inside session AND outside of session can change the brain</w:t>
      </w:r>
    </w:p>
    <w:p w:rsidR="00A641A4" w:rsidRDefault="00A641A4" w:rsidP="001D17E6">
      <w:pPr>
        <w:pStyle w:val="ListParagraph"/>
      </w:pPr>
    </w:p>
    <w:p w:rsidR="00A06AF6" w:rsidRPr="00F20940" w:rsidRDefault="00A06AF6" w:rsidP="00A06AF6">
      <w:pPr>
        <w:rPr>
          <w:b/>
        </w:rPr>
      </w:pPr>
      <w:r w:rsidRPr="00F20940">
        <w:rPr>
          <w:b/>
        </w:rPr>
        <w:t xml:space="preserve">Associative learning &amp; </w:t>
      </w:r>
      <w:r w:rsidR="000064D9" w:rsidRPr="00F20940">
        <w:rPr>
          <w:b/>
        </w:rPr>
        <w:t>neural circuits</w:t>
      </w:r>
    </w:p>
    <w:p w:rsidR="000064D9" w:rsidRDefault="000064D9" w:rsidP="000064D9">
      <w:pPr>
        <w:pStyle w:val="ListParagraph"/>
        <w:numPr>
          <w:ilvl w:val="0"/>
          <w:numId w:val="1"/>
        </w:numPr>
      </w:pPr>
      <w:r>
        <w:t>Our environments and experiences in</w:t>
      </w:r>
      <w:r w:rsidR="00F20940">
        <w:t>fluence the associations &amp; neural circuits supporting those associations</w:t>
      </w:r>
    </w:p>
    <w:p w:rsidR="00F20940" w:rsidRDefault="000064D9" w:rsidP="000064D9">
      <w:pPr>
        <w:pStyle w:val="ListParagraph"/>
        <w:numPr>
          <w:ilvl w:val="0"/>
          <w:numId w:val="1"/>
        </w:numPr>
      </w:pPr>
      <w:r>
        <w:t>The neural circuits supporting those associations are often pretty tenacious, but we can create new neural pathways through exposing ourselves to different environments and/or practicing new ways of behaving/thinking/awareness/experiencing.</w:t>
      </w:r>
    </w:p>
    <w:p w:rsidR="00F20940" w:rsidRDefault="00F20940" w:rsidP="00F20940">
      <w:pPr>
        <w:pStyle w:val="ListParagraph"/>
        <w:numPr>
          <w:ilvl w:val="0"/>
          <w:numId w:val="1"/>
        </w:numPr>
      </w:pPr>
      <w:r>
        <w:t>Good news is that they do change; bad news some of these circuits are pretty strong</w:t>
      </w:r>
    </w:p>
    <w:p w:rsidR="00916980" w:rsidRDefault="00F20940" w:rsidP="00F20940">
      <w:pPr>
        <w:pStyle w:val="ListParagraph"/>
        <w:numPr>
          <w:ilvl w:val="0"/>
          <w:numId w:val="1"/>
        </w:numPr>
      </w:pPr>
      <w:r>
        <w:t>Neural networks – “software” – wiring &amp; re-wiring</w:t>
      </w:r>
    </w:p>
    <w:p w:rsidR="006C1D17" w:rsidRDefault="001D17E6" w:rsidP="000064D9">
      <w:pPr>
        <w:pStyle w:val="ListParagraph"/>
        <w:numPr>
          <w:ilvl w:val="0"/>
          <w:numId w:val="1"/>
        </w:numPr>
      </w:pPr>
      <w:r>
        <w:t xml:space="preserve">Example: </w:t>
      </w:r>
      <w:r w:rsidR="00916980">
        <w:t xml:space="preserve">Behavioral sleep strategies – when we stay in bed when we are anxious we are building </w:t>
      </w:r>
      <w:r w:rsidR="00F20940">
        <w:t xml:space="preserve">an </w:t>
      </w:r>
      <w:r w:rsidR="00916980" w:rsidRPr="00F20940">
        <w:rPr>
          <w:u w:val="single"/>
        </w:rPr>
        <w:t>association between bed &amp; anxiety</w:t>
      </w:r>
      <w:r w:rsidR="00916980">
        <w:t xml:space="preserve"> – get up, </w:t>
      </w:r>
      <w:r w:rsidR="00F20940">
        <w:t>“</w:t>
      </w:r>
      <w:r w:rsidR="00916980">
        <w:t>do anxiety</w:t>
      </w:r>
      <w:r w:rsidR="00F20940">
        <w:t>”</w:t>
      </w:r>
      <w:r w:rsidR="00916980">
        <w:t xml:space="preserve"> in another room – come back to bed when sleepy to b</w:t>
      </w:r>
      <w:r w:rsidR="00F20940">
        <w:t xml:space="preserve">uild </w:t>
      </w:r>
      <w:r w:rsidR="00F20940" w:rsidRPr="00F20940">
        <w:rPr>
          <w:u w:val="single"/>
        </w:rPr>
        <w:t xml:space="preserve">association between bed &amp; </w:t>
      </w:r>
      <w:r w:rsidR="00916980" w:rsidRPr="00F20940">
        <w:rPr>
          <w:u w:val="single"/>
        </w:rPr>
        <w:t>sleepiness</w:t>
      </w:r>
      <w:r w:rsidR="00916980">
        <w:t xml:space="preserve"> (weaving fingers together &amp; apart to visualize the associations</w:t>
      </w:r>
      <w:r w:rsidR="00A641A4">
        <w:t xml:space="preserve"> and breaking associations and re-forming new associations</w:t>
      </w:r>
      <w:r w:rsidR="00916980">
        <w:t xml:space="preserve">) </w:t>
      </w:r>
    </w:p>
    <w:p w:rsidR="00F20940" w:rsidRDefault="00F20940" w:rsidP="00F20940"/>
    <w:p w:rsidR="00F20940" w:rsidRPr="001D17E6" w:rsidRDefault="00F20940" w:rsidP="001D17E6">
      <w:pPr>
        <w:rPr>
          <w:b/>
        </w:rPr>
      </w:pPr>
      <w:r w:rsidRPr="00F20940">
        <w:rPr>
          <w:b/>
        </w:rPr>
        <w:t xml:space="preserve">Helping our patients identify </w:t>
      </w:r>
      <w:r w:rsidRPr="001D17E6">
        <w:rPr>
          <w:b/>
          <w:u w:val="single"/>
        </w:rPr>
        <w:t>reminders to practice</w:t>
      </w:r>
      <w:r w:rsidRPr="00F20940">
        <w:rPr>
          <w:b/>
        </w:rPr>
        <w:t xml:space="preserve"> (and not to get discouraged that it can take many repetitions for new learning to take root)</w:t>
      </w:r>
    </w:p>
    <w:p w:rsidR="00F20940" w:rsidRDefault="00F20940" w:rsidP="00F20940">
      <w:pPr>
        <w:pStyle w:val="ListParagraph"/>
        <w:numPr>
          <w:ilvl w:val="0"/>
          <w:numId w:val="1"/>
        </w:numPr>
      </w:pPr>
      <w:r>
        <w:t>Every time come across some stimulus, use this stimulus as a reminder to practice.  The reminder stimulus could take many different forms.  For instance, this stimulus could be something related to a metaphor we’ve used, e.g., a highway.  Or, this stimulus could be a mental habit or behavior.  Or, it could be a sensation or a feeling, akin to tightness in the neck reminding us to relax our shoulders.</w:t>
      </w:r>
    </w:p>
    <w:p w:rsidR="003249C8" w:rsidRDefault="001D17E6" w:rsidP="00F20940">
      <w:pPr>
        <w:pStyle w:val="ListParagraph"/>
        <w:numPr>
          <w:ilvl w:val="0"/>
          <w:numId w:val="1"/>
        </w:numPr>
      </w:pPr>
      <w:r>
        <w:t>Steps that can be practiced</w:t>
      </w:r>
      <w:r w:rsidR="003249C8">
        <w:t xml:space="preserve"> on the fly:  </w:t>
      </w:r>
      <w:r w:rsidR="00F20940">
        <w:t xml:space="preserve">Noticing </w:t>
      </w:r>
      <w:r w:rsidR="003249C8">
        <w:t>a mental habit</w:t>
      </w:r>
      <w:r w:rsidR="00F20940">
        <w:t>, noticing that I noticed, acceptance and/or vali</w:t>
      </w:r>
      <w:r>
        <w:t xml:space="preserve">dating self for noticing (“Yea! I noticed! This </w:t>
      </w:r>
      <w:r w:rsidR="00F20940">
        <w:t>is fertile</w:t>
      </w:r>
      <w:r w:rsidR="003249C8">
        <w:t xml:space="preserve"> ground for neuroplasticity” or “</w:t>
      </w:r>
      <w:r w:rsidR="00F20940">
        <w:t>this is neuroplasticity in action</w:t>
      </w:r>
      <w:r w:rsidR="003249C8">
        <w:t>”)</w:t>
      </w:r>
    </w:p>
    <w:p w:rsidR="00F20940" w:rsidRDefault="003249C8" w:rsidP="003249C8">
      <w:pPr>
        <w:pStyle w:val="ListParagraph"/>
        <w:numPr>
          <w:ilvl w:val="0"/>
          <w:numId w:val="1"/>
        </w:numPr>
      </w:pPr>
      <w:r>
        <w:t xml:space="preserve">Being “in it” juxtaposed with observing it (healthy detachment) – demos:  octopus hand on face </w:t>
      </w:r>
      <w:r w:rsidR="001D17E6">
        <w:t>and/or hands surrounding head juxtaposed with</w:t>
      </w:r>
      <w:r>
        <w:t xml:space="preserve"> watching hands move away from body</w:t>
      </w:r>
    </w:p>
    <w:p w:rsidR="001D17E6" w:rsidRDefault="00F20940" w:rsidP="00F20940">
      <w:pPr>
        <w:pStyle w:val="ListParagraph"/>
        <w:numPr>
          <w:ilvl w:val="0"/>
          <w:numId w:val="1"/>
        </w:numPr>
      </w:pPr>
      <w:r>
        <w:t>Took us around a year to learn to walk</w:t>
      </w:r>
      <w:r w:rsidR="001D17E6">
        <w:t xml:space="preserve"> </w:t>
      </w:r>
      <w:r w:rsidR="003249C8">
        <w:t>or throw a basketball or play chess or drive a car – any behavior that the patient is now expert – took lots of experimentation, adjustments, and practice for that behavior to become second nature</w:t>
      </w:r>
    </w:p>
    <w:p w:rsidR="00F20940" w:rsidRDefault="001D17E6" w:rsidP="00F20940">
      <w:pPr>
        <w:pStyle w:val="ListParagraph"/>
        <w:numPr>
          <w:ilvl w:val="0"/>
          <w:numId w:val="1"/>
        </w:numPr>
      </w:pPr>
      <w:r>
        <w:t>If the patient is in a frame of mind for humor, use humor teaching these concepts.  The positive emotional arousal can enhance learning.</w:t>
      </w:r>
    </w:p>
    <w:p w:rsidR="000064D9" w:rsidRDefault="000064D9" w:rsidP="008E7F9A"/>
    <w:p w:rsidR="007F18F9" w:rsidRPr="007F18F9" w:rsidRDefault="007F18F9" w:rsidP="008E7F9A">
      <w:pPr>
        <w:rPr>
          <w:b/>
        </w:rPr>
      </w:pPr>
      <w:r w:rsidRPr="007F18F9">
        <w:rPr>
          <w:b/>
        </w:rPr>
        <w:t>Synergism between medication and psychotherapy</w:t>
      </w:r>
    </w:p>
    <w:p w:rsidR="007F18F9" w:rsidRDefault="007F18F9" w:rsidP="007F18F9">
      <w:pPr>
        <w:pStyle w:val="ListParagraph"/>
        <w:numPr>
          <w:ilvl w:val="0"/>
          <w:numId w:val="1"/>
        </w:numPr>
      </w:pPr>
      <w:r>
        <w:t>Bicycle – medication helps grease the gears; psychotherapy pedals the bike</w:t>
      </w:r>
    </w:p>
    <w:p w:rsidR="007F18F9" w:rsidRDefault="007F18F9" w:rsidP="008E7F9A"/>
    <w:p w:rsidR="008E7F9A" w:rsidRPr="003249C8" w:rsidRDefault="00EA1804" w:rsidP="008E7F9A">
      <w:pPr>
        <w:rPr>
          <w:b/>
        </w:rPr>
      </w:pPr>
      <w:r w:rsidRPr="003249C8">
        <w:rPr>
          <w:b/>
        </w:rPr>
        <w:t>Fear, anxiety, or threat</w:t>
      </w:r>
    </w:p>
    <w:p w:rsidR="008E7F9A" w:rsidRDefault="00AB36DF" w:rsidP="008E7F9A">
      <w:pPr>
        <w:pStyle w:val="ListParagraph"/>
        <w:numPr>
          <w:ilvl w:val="0"/>
          <w:numId w:val="1"/>
        </w:numPr>
      </w:pPr>
      <w:r>
        <w:t xml:space="preserve">We are great threat detectors!  </w:t>
      </w:r>
      <w:r w:rsidR="00414BFA">
        <w:t>It m</w:t>
      </w:r>
      <w:r w:rsidR="008E7F9A">
        <w:t>ake</w:t>
      </w:r>
      <w:r w:rsidR="00414BFA">
        <w:t>s</w:t>
      </w:r>
      <w:r w:rsidR="008E7F9A">
        <w:t xml:space="preserve"> evolutionary sense that we are super threat detectors.  Our evolutionary ancestors who were good at dete</w:t>
      </w:r>
      <w:r w:rsidR="001D17E6">
        <w:t>cting threat didn’t get eaten.</w:t>
      </w:r>
    </w:p>
    <w:p w:rsidR="00AB36DF" w:rsidRDefault="008E7F9A" w:rsidP="008E7F9A">
      <w:pPr>
        <w:pStyle w:val="ListParagraph"/>
        <w:numPr>
          <w:ilvl w:val="0"/>
          <w:numId w:val="1"/>
        </w:numPr>
      </w:pPr>
      <w:r>
        <w:t>The brain is primed for threat learning.  The “emotion centers” of the brain boost the “memory centers” of the brain during emotionally evocative events.  This is why emotional memories can be so strong.  (But there is also the flip-side – this a reason why traumatic memories are so fragmented – some aspects of the event(s) are over-remembered where other aspects are under-remembered)</w:t>
      </w:r>
    </w:p>
    <w:p w:rsidR="003249C8" w:rsidRDefault="00AB36DF" w:rsidP="008E7F9A">
      <w:pPr>
        <w:pStyle w:val="ListParagraph"/>
        <w:numPr>
          <w:ilvl w:val="0"/>
          <w:numId w:val="1"/>
        </w:numPr>
      </w:pPr>
      <w:r>
        <w:t xml:space="preserve">The over-attunement to threat can be “the brain doing its job” --  </w:t>
      </w:r>
      <w:r w:rsidR="003249C8">
        <w:t xml:space="preserve">so there is nothing “wrong” with our brains, </w:t>
      </w:r>
      <w:r>
        <w:t xml:space="preserve">we </w:t>
      </w:r>
      <w:r w:rsidR="003249C8">
        <w:t>simply want to make new</w:t>
      </w:r>
      <w:r>
        <w:t xml:space="preserve"> associations and </w:t>
      </w:r>
      <w:r w:rsidR="003249C8">
        <w:t xml:space="preserve">identify new </w:t>
      </w:r>
      <w:r>
        <w:t xml:space="preserve">behaviors to practice that are more effective for the situation </w:t>
      </w:r>
    </w:p>
    <w:p w:rsidR="003249C8" w:rsidRDefault="003249C8" w:rsidP="003249C8">
      <w:pPr>
        <w:pStyle w:val="ListParagraph"/>
        <w:numPr>
          <w:ilvl w:val="0"/>
          <w:numId w:val="1"/>
        </w:numPr>
      </w:pPr>
      <w:r>
        <w:t xml:space="preserve">Exposure therapy – Creating a new neural connection that supports the association between the feared stimulus and SAFETY </w:t>
      </w:r>
    </w:p>
    <w:p w:rsidR="00546695" w:rsidRDefault="00546695" w:rsidP="00546695"/>
    <w:p w:rsidR="00546695" w:rsidRPr="003249C8" w:rsidRDefault="00546695" w:rsidP="00546695">
      <w:pPr>
        <w:rPr>
          <w:b/>
        </w:rPr>
      </w:pPr>
      <w:r w:rsidRPr="003249C8">
        <w:rPr>
          <w:b/>
        </w:rPr>
        <w:lastRenderedPageBreak/>
        <w:t xml:space="preserve">Cortical regulation of </w:t>
      </w:r>
      <w:proofErr w:type="spellStart"/>
      <w:r w:rsidRPr="003249C8">
        <w:rPr>
          <w:b/>
        </w:rPr>
        <w:t>subcortex</w:t>
      </w:r>
      <w:proofErr w:type="spellEnd"/>
    </w:p>
    <w:p w:rsidR="00546695" w:rsidRDefault="00546695" w:rsidP="00546695">
      <w:pPr>
        <w:pStyle w:val="ListParagraph"/>
        <w:numPr>
          <w:ilvl w:val="0"/>
          <w:numId w:val="1"/>
        </w:numPr>
      </w:pPr>
      <w:r>
        <w:t xml:space="preserve">Prefrontal inhibition of amygdala is very plastic </w:t>
      </w:r>
    </w:p>
    <w:p w:rsidR="00336882" w:rsidRDefault="00546695" w:rsidP="00546695">
      <w:pPr>
        <w:pStyle w:val="ListParagraph"/>
        <w:numPr>
          <w:ilvl w:val="0"/>
          <w:numId w:val="1"/>
        </w:numPr>
      </w:pPr>
      <w:r>
        <w:t>Prefrontal inhibition of amygdala is often disrupted in psychopathology</w:t>
      </w:r>
    </w:p>
    <w:p w:rsidR="00336882" w:rsidRDefault="003249C8" w:rsidP="00546695">
      <w:pPr>
        <w:pStyle w:val="ListParagraph"/>
        <w:numPr>
          <w:ilvl w:val="0"/>
          <w:numId w:val="1"/>
        </w:numPr>
      </w:pPr>
      <w:r>
        <w:t>Evidence suggests that e</w:t>
      </w:r>
      <w:r w:rsidR="00336882">
        <w:t>xposure therapy can affect this circuitry</w:t>
      </w:r>
    </w:p>
    <w:p w:rsidR="00546695" w:rsidRDefault="00546695" w:rsidP="00546695"/>
    <w:p w:rsidR="00546695" w:rsidRPr="003249C8" w:rsidRDefault="00546695" w:rsidP="00546695">
      <w:pPr>
        <w:rPr>
          <w:b/>
        </w:rPr>
      </w:pPr>
      <w:r w:rsidRPr="003249C8">
        <w:rPr>
          <w:b/>
        </w:rPr>
        <w:t>Self-related neural processes</w:t>
      </w:r>
    </w:p>
    <w:p w:rsidR="00546695" w:rsidRDefault="00546695" w:rsidP="00546695">
      <w:pPr>
        <w:pStyle w:val="ListParagraph"/>
        <w:numPr>
          <w:ilvl w:val="0"/>
          <w:numId w:val="1"/>
        </w:numPr>
      </w:pPr>
      <w:r>
        <w:t xml:space="preserve">Anterior ACC and medial prefrontal cortex (e.g., </w:t>
      </w:r>
      <w:proofErr w:type="spellStart"/>
      <w:r>
        <w:t>subgenual</w:t>
      </w:r>
      <w:proofErr w:type="spellEnd"/>
      <w:r>
        <w:t xml:space="preserve"> PFC) activated during rest and/or tasks that increase attention toward self</w:t>
      </w:r>
    </w:p>
    <w:p w:rsidR="00546695" w:rsidRDefault="00546695" w:rsidP="00546695">
      <w:pPr>
        <w:pStyle w:val="ListParagraph"/>
        <w:numPr>
          <w:ilvl w:val="0"/>
          <w:numId w:val="1"/>
        </w:numPr>
      </w:pPr>
      <w:r>
        <w:t>Altered activity and connectivity of anterior ACC in depression</w:t>
      </w:r>
    </w:p>
    <w:p w:rsidR="00546695" w:rsidRDefault="00546695" w:rsidP="00546695">
      <w:pPr>
        <w:pStyle w:val="ListParagraph"/>
        <w:numPr>
          <w:ilvl w:val="0"/>
          <w:numId w:val="1"/>
        </w:numPr>
      </w:pPr>
      <w:r>
        <w:t>“The black hole of inward-focused attention”</w:t>
      </w:r>
    </w:p>
    <w:p w:rsidR="001D17E6" w:rsidRDefault="00546695" w:rsidP="003249C8">
      <w:pPr>
        <w:pStyle w:val="ListParagraph"/>
        <w:numPr>
          <w:ilvl w:val="0"/>
          <w:numId w:val="1"/>
        </w:numPr>
      </w:pPr>
      <w:r>
        <w:t xml:space="preserve">Behavioral activation as drawing outward </w:t>
      </w:r>
      <w:r w:rsidR="001D17E6">
        <w:t xml:space="preserve">of </w:t>
      </w:r>
      <w:r>
        <w:t>awareness, attention, and brain activation</w:t>
      </w:r>
      <w:r w:rsidR="003249C8">
        <w:t xml:space="preserve"> – using hands to point to mid-line structure in brain – use hands in a outward motion to demonstrate drawing outward of brain activation, awareness, and attention</w:t>
      </w:r>
    </w:p>
    <w:p w:rsidR="006427A3" w:rsidRDefault="001D17E6" w:rsidP="003249C8">
      <w:pPr>
        <w:pStyle w:val="ListParagraph"/>
        <w:numPr>
          <w:ilvl w:val="0"/>
          <w:numId w:val="1"/>
        </w:numPr>
      </w:pPr>
      <w:r>
        <w:t>Embodied awareness (likely supported by insula) vs. ruminative self-talk – different types of awareness of self – the embodied awareness taught in mindfulness meditation possibly reduces over-activation in other self-related neural circuits</w:t>
      </w:r>
    </w:p>
    <w:sectPr w:rsidR="006427A3" w:rsidSect="001D17E6">
      <w:pgSz w:w="12240" w:h="15840"/>
      <w:pgMar w:top="1152"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B716EA"/>
    <w:multiLevelType w:val="hybridMultilevel"/>
    <w:tmpl w:val="39442F5E"/>
    <w:lvl w:ilvl="0" w:tplc="E6D4F86E">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A3"/>
    <w:rsid w:val="000064D9"/>
    <w:rsid w:val="001471B5"/>
    <w:rsid w:val="001D17E6"/>
    <w:rsid w:val="003249C8"/>
    <w:rsid w:val="00336882"/>
    <w:rsid w:val="00356FC1"/>
    <w:rsid w:val="00414BFA"/>
    <w:rsid w:val="00546695"/>
    <w:rsid w:val="006427A3"/>
    <w:rsid w:val="006C1D17"/>
    <w:rsid w:val="006C3F41"/>
    <w:rsid w:val="00784502"/>
    <w:rsid w:val="007F18F9"/>
    <w:rsid w:val="008A5BD9"/>
    <w:rsid w:val="008E7F9A"/>
    <w:rsid w:val="00916980"/>
    <w:rsid w:val="00A06AF6"/>
    <w:rsid w:val="00A641A4"/>
    <w:rsid w:val="00AB36DF"/>
    <w:rsid w:val="00C2777A"/>
    <w:rsid w:val="00D07590"/>
    <w:rsid w:val="00EA1804"/>
    <w:rsid w:val="00F20940"/>
    <w:rsid w:val="00F64D08"/>
    <w:rsid w:val="00FF28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A871FE6-BB5F-4CB6-96F7-AA60F58A5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5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2B10"/>
    <w:rPr>
      <w:rFonts w:ascii="Lucida Grande" w:hAnsi="Lucida Grande"/>
      <w:sz w:val="18"/>
      <w:szCs w:val="18"/>
    </w:rPr>
  </w:style>
  <w:style w:type="character" w:customStyle="1" w:styleId="BalloonTextChar">
    <w:name w:val="Balloon Text Char"/>
    <w:basedOn w:val="DefaultParagraphFont"/>
    <w:link w:val="BalloonText"/>
    <w:uiPriority w:val="99"/>
    <w:semiHidden/>
    <w:rsid w:val="00D22B10"/>
    <w:rPr>
      <w:rFonts w:ascii="Lucida Grande" w:hAnsi="Lucida Grande"/>
      <w:sz w:val="18"/>
      <w:szCs w:val="18"/>
    </w:rPr>
  </w:style>
  <w:style w:type="paragraph" w:styleId="ListParagraph">
    <w:name w:val="List Paragraph"/>
    <w:basedOn w:val="Normal"/>
    <w:uiPriority w:val="34"/>
    <w:qFormat/>
    <w:rsid w:val="008E7F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1135</Words>
  <Characters>6474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UW-Madison, Dept. of Psychiatry</Company>
  <LinksUpToDate>false</LinksUpToDate>
  <CharactersWithSpaces>7594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habercro</dc:creator>
  <cp:lastModifiedBy>Roxanne Hoks</cp:lastModifiedBy>
  <cp:revision>3</cp:revision>
  <cp:lastPrinted>2016-03-17T16:50:00Z</cp:lastPrinted>
  <dcterms:created xsi:type="dcterms:W3CDTF">2017-03-13T20:40:00Z</dcterms:created>
  <dcterms:modified xsi:type="dcterms:W3CDTF">2018-03-19T18:14:00Z</dcterms:modified>
</cp:coreProperties>
</file>